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711C95" w14:textId="77777777" w:rsidR="00776844" w:rsidRPr="003C1FD6" w:rsidRDefault="00084048">
      <w:pPr>
        <w:rPr>
          <w:rFonts w:ascii="Century Schoolbook" w:hAnsi="Century Schoolbook"/>
        </w:rPr>
      </w:pPr>
      <w:r w:rsidRPr="003C1FD6">
        <w:rPr>
          <w:rFonts w:ascii="Century Schoolbook" w:hAnsi="Century Schoolbook"/>
          <w:sz w:val="36"/>
        </w:rPr>
        <w:t>“</w:t>
      </w:r>
      <w:proofErr w:type="spellStart"/>
      <w:r w:rsidRPr="003C1FD6">
        <w:rPr>
          <w:rFonts w:ascii="Century Schoolbook" w:hAnsi="Century Schoolbook"/>
          <w:sz w:val="36"/>
        </w:rPr>
        <w:t>ReCap</w:t>
      </w:r>
      <w:proofErr w:type="spellEnd"/>
      <w:r w:rsidRPr="003C1FD6">
        <w:rPr>
          <w:rFonts w:ascii="Century Schoolbook" w:hAnsi="Century Schoolbook"/>
          <w:sz w:val="36"/>
        </w:rPr>
        <w:t>”-ping Recovery</w:t>
      </w:r>
    </w:p>
    <w:p w14:paraId="05625C85" w14:textId="77777777" w:rsidR="00776844" w:rsidRPr="003C1FD6" w:rsidRDefault="00776844">
      <w:pPr>
        <w:rPr>
          <w:rFonts w:ascii="Century Schoolbook" w:hAnsi="Century Schoolbook"/>
          <w:sz w:val="36"/>
        </w:rPr>
      </w:pPr>
    </w:p>
    <w:p w14:paraId="29840C5F" w14:textId="77777777" w:rsidR="00776844" w:rsidRPr="003C1FD6" w:rsidRDefault="00084048">
      <w:pPr>
        <w:rPr>
          <w:rFonts w:ascii="Century Schoolbook" w:hAnsi="Century Schoolbook"/>
        </w:rPr>
      </w:pPr>
      <w:r w:rsidRPr="003C1FD6">
        <w:rPr>
          <w:rFonts w:ascii="Century Schoolbook" w:hAnsi="Century Schoolbook"/>
        </w:rPr>
        <w:t>This first-in-a-series of resources has been developed by researchers in Australia and New Zealand.  Their aim is to guide communities by looking at the recovery process through the lens of the Seven Capitals framework.  Given the wide spectrum of contexts</w:t>
      </w:r>
      <w:r w:rsidRPr="003C1FD6">
        <w:rPr>
          <w:rFonts w:ascii="Century Schoolbook" w:hAnsi="Century Schoolbook"/>
        </w:rPr>
        <w:t xml:space="preserve"> (indigenous peoples, rural, suburban, urban) in which this document may be used, the authors consciously avoid specific prescriptions. </w:t>
      </w:r>
    </w:p>
    <w:p w14:paraId="49DB58E0" w14:textId="77777777" w:rsidR="00776844" w:rsidRPr="003C1FD6" w:rsidRDefault="00776844">
      <w:pPr>
        <w:rPr>
          <w:rFonts w:ascii="Century Schoolbook" w:hAnsi="Century Schoolbook"/>
        </w:rPr>
      </w:pPr>
    </w:p>
    <w:p w14:paraId="7EED6456" w14:textId="77777777" w:rsidR="00776844" w:rsidRPr="003C1FD6" w:rsidRDefault="00084048">
      <w:pPr>
        <w:rPr>
          <w:rFonts w:ascii="Century Schoolbook" w:hAnsi="Century Schoolbook"/>
        </w:rPr>
      </w:pPr>
      <w:r w:rsidRPr="003C1FD6">
        <w:rPr>
          <w:rFonts w:ascii="Century Schoolbook" w:hAnsi="Century Schoolbook"/>
        </w:rPr>
        <w:t>There is a section for each of the Seven Capitals – Natural, Social, Financial, Cultural, Political and Built.  The fo</w:t>
      </w:r>
      <w:r w:rsidRPr="003C1FD6">
        <w:rPr>
          <w:rFonts w:ascii="Century Schoolbook" w:hAnsi="Century Schoolbook"/>
        </w:rPr>
        <w:t xml:space="preserve">cus of each section is on the Capital’s role in disaster recovery, its impact within the community, and its connections to other capitals.  Each section is further broken down into important attributes of that Capital.  For each of these, there is a short </w:t>
      </w:r>
      <w:r w:rsidRPr="003C1FD6">
        <w:rPr>
          <w:rFonts w:ascii="Century Schoolbook" w:hAnsi="Century Schoolbook"/>
        </w:rPr>
        <w:t>statement of “What We Know” (encapsulating existing knowledge in the academic literature) that leads to things to “Consider” in developing recovery strategies.</w:t>
      </w:r>
    </w:p>
    <w:p w14:paraId="742F24B6" w14:textId="77777777" w:rsidR="00776844" w:rsidRPr="003C1FD6" w:rsidRDefault="00776844">
      <w:pPr>
        <w:rPr>
          <w:rFonts w:ascii="Century Schoolbook" w:hAnsi="Century Schoolbook"/>
        </w:rPr>
      </w:pPr>
    </w:p>
    <w:p w14:paraId="4FA0427E" w14:textId="77777777" w:rsidR="00776844" w:rsidRPr="003C1FD6" w:rsidRDefault="00084048">
      <w:pPr>
        <w:rPr>
          <w:rFonts w:ascii="Century Schoolbook" w:hAnsi="Century Schoolbook"/>
        </w:rPr>
      </w:pPr>
      <w:r w:rsidRPr="003C1FD6">
        <w:rPr>
          <w:rFonts w:ascii="Century Schoolbook" w:hAnsi="Century Schoolbook"/>
        </w:rPr>
        <w:t>I firmly believe that the approach the authors have taken – looking at recovery through the len</w:t>
      </w:r>
      <w:r w:rsidRPr="003C1FD6">
        <w:rPr>
          <w:rFonts w:ascii="Century Schoolbook" w:hAnsi="Century Schoolbook"/>
        </w:rPr>
        <w:t>s of the Seven Capitals – is very useful (I’d better say that because I just finished revising a paper that does the same thing!).  All in all, the authors have done a good job of going from what’s known to things to think about in developing a recovery st</w:t>
      </w:r>
      <w:r w:rsidRPr="003C1FD6">
        <w:rPr>
          <w:rFonts w:ascii="Century Schoolbook" w:hAnsi="Century Schoolbook"/>
        </w:rPr>
        <w:t xml:space="preserve">rategy.  </w:t>
      </w:r>
    </w:p>
    <w:p w14:paraId="5223B6A9" w14:textId="77777777" w:rsidR="00776844" w:rsidRPr="003C1FD6" w:rsidRDefault="00776844">
      <w:pPr>
        <w:rPr>
          <w:rFonts w:ascii="Century Schoolbook" w:hAnsi="Century Schoolbook"/>
        </w:rPr>
      </w:pPr>
    </w:p>
    <w:p w14:paraId="3F2357E6" w14:textId="77777777" w:rsidR="00776844" w:rsidRPr="003C1FD6" w:rsidRDefault="00084048">
      <w:pPr>
        <w:rPr>
          <w:rFonts w:ascii="Century Schoolbook" w:hAnsi="Century Schoolbook"/>
        </w:rPr>
      </w:pPr>
      <w:r w:rsidRPr="003C1FD6">
        <w:rPr>
          <w:rFonts w:ascii="Century Schoolbook" w:hAnsi="Century Schoolbook"/>
        </w:rPr>
        <w:t xml:space="preserve">Having pointed out what’s good, I also need to point out a few things that bothered me.  </w:t>
      </w:r>
    </w:p>
    <w:p w14:paraId="49EFD89D" w14:textId="77777777" w:rsidR="00776844" w:rsidRPr="003C1FD6" w:rsidRDefault="00084048">
      <w:pPr>
        <w:numPr>
          <w:ilvl w:val="0"/>
          <w:numId w:val="1"/>
        </w:numPr>
        <w:tabs>
          <w:tab w:val="left" w:pos="288"/>
          <w:tab w:val="left" w:pos="648"/>
        </w:tabs>
        <w:rPr>
          <w:rFonts w:ascii="Century Schoolbook" w:hAnsi="Century Schoolbook"/>
        </w:rPr>
      </w:pPr>
      <w:r w:rsidRPr="003C1FD6">
        <w:rPr>
          <w:rFonts w:ascii="Century Schoolbook" w:hAnsi="Century Schoolbook"/>
        </w:rPr>
        <w:t xml:space="preserve">Maybe it’s just me, but I see recovery as a contact sport.  In particular, recovery </w:t>
      </w:r>
      <w:r w:rsidRPr="003C1FD6">
        <w:rPr>
          <w:rFonts w:ascii="Century Schoolbook" w:hAnsi="Century Schoolbook"/>
          <w:b/>
        </w:rPr>
        <w:t>demands</w:t>
      </w:r>
      <w:r w:rsidRPr="003C1FD6">
        <w:rPr>
          <w:rFonts w:ascii="Century Schoolbook" w:hAnsi="Century Schoolbook"/>
        </w:rPr>
        <w:t xml:space="preserve"> action.  Action, of any kind, requires investment of resources </w:t>
      </w:r>
      <w:r w:rsidRPr="003C1FD6">
        <w:rPr>
          <w:rFonts w:ascii="Century Schoolbook" w:hAnsi="Century Schoolbook"/>
        </w:rPr>
        <w:t>– people, plans, money and so on.  I think the authors missed a great opportunity to focus attention on this aspect of recovery.</w:t>
      </w:r>
    </w:p>
    <w:p w14:paraId="1155D282" w14:textId="77777777" w:rsidR="00776844" w:rsidRPr="003C1FD6" w:rsidRDefault="00084048">
      <w:pPr>
        <w:numPr>
          <w:ilvl w:val="0"/>
          <w:numId w:val="2"/>
        </w:numPr>
        <w:tabs>
          <w:tab w:val="left" w:pos="288"/>
          <w:tab w:val="left" w:pos="648"/>
        </w:tabs>
        <w:rPr>
          <w:rFonts w:ascii="Century Schoolbook" w:hAnsi="Century Schoolbook"/>
        </w:rPr>
      </w:pPr>
      <w:r w:rsidRPr="003C1FD6">
        <w:rPr>
          <w:rFonts w:ascii="Century Schoolbook" w:hAnsi="Century Schoolbook"/>
        </w:rPr>
        <w:t>In particular, there was too little focus on the assets associated with each capital, and their role in recovery.  For example,</w:t>
      </w:r>
      <w:r w:rsidRPr="003C1FD6">
        <w:rPr>
          <w:rFonts w:ascii="Century Schoolbook" w:hAnsi="Century Schoolbook"/>
        </w:rPr>
        <w:t xml:space="preserve"> the “Financial” section didn’t guide communities to consider what financial resources they already have, nor did it seem to consider government grants (nor the human capital needed to apply for them). </w:t>
      </w:r>
    </w:p>
    <w:p w14:paraId="2479860B" w14:textId="77777777" w:rsidR="00776844" w:rsidRPr="003C1FD6" w:rsidRDefault="00084048">
      <w:pPr>
        <w:numPr>
          <w:ilvl w:val="0"/>
          <w:numId w:val="2"/>
        </w:numPr>
        <w:tabs>
          <w:tab w:val="left" w:pos="288"/>
          <w:tab w:val="left" w:pos="648"/>
        </w:tabs>
        <w:rPr>
          <w:rFonts w:ascii="Century Schoolbook" w:hAnsi="Century Schoolbook"/>
        </w:rPr>
      </w:pPr>
      <w:r w:rsidRPr="003C1FD6">
        <w:rPr>
          <w:rFonts w:ascii="Century Schoolbook" w:hAnsi="Century Schoolbook"/>
        </w:rPr>
        <w:t>The “Political” section needs to include governance m</w:t>
      </w:r>
      <w:r w:rsidRPr="003C1FD6">
        <w:rPr>
          <w:rFonts w:ascii="Century Schoolbook" w:hAnsi="Century Schoolbook"/>
        </w:rPr>
        <w:t xml:space="preserve">ore – decision-making and implementation. </w:t>
      </w:r>
    </w:p>
    <w:p w14:paraId="65180C0A" w14:textId="1F41D73A" w:rsidR="00776844" w:rsidRPr="003C1FD6" w:rsidRDefault="00084048">
      <w:pPr>
        <w:numPr>
          <w:ilvl w:val="0"/>
          <w:numId w:val="2"/>
        </w:numPr>
        <w:tabs>
          <w:tab w:val="left" w:pos="288"/>
          <w:tab w:val="left" w:pos="648"/>
        </w:tabs>
        <w:rPr>
          <w:rFonts w:ascii="Century Schoolbook" w:hAnsi="Century Schoolbook"/>
        </w:rPr>
      </w:pPr>
      <w:r w:rsidRPr="003C1FD6">
        <w:rPr>
          <w:rFonts w:ascii="Century Schoolbook" w:hAnsi="Century Schoolbook"/>
        </w:rPr>
        <w:t xml:space="preserve">The “Natural” section included climate change (in a sort of left-handed way) but </w:t>
      </w:r>
      <w:r w:rsidRPr="003C1FD6">
        <w:rPr>
          <w:rFonts w:ascii="Century Schoolbook" w:hAnsi="Century Schoolbook"/>
        </w:rPr>
        <w:t>then stated that its “interplay with disaster recovery needs further investigation.”  The</w:t>
      </w:r>
      <w:r w:rsidR="003C1FD6">
        <w:rPr>
          <w:rFonts w:ascii="Century Schoolbook" w:hAnsi="Century Schoolbook"/>
        </w:rPr>
        <w:t>n</w:t>
      </w:r>
      <w:r w:rsidRPr="003C1FD6">
        <w:rPr>
          <w:rFonts w:ascii="Century Schoolbook" w:hAnsi="Century Schoolbook"/>
        </w:rPr>
        <w:t xml:space="preserve"> why include it?</w:t>
      </w:r>
    </w:p>
    <w:p w14:paraId="6692D6BD" w14:textId="77777777" w:rsidR="00776844" w:rsidRPr="003C1FD6" w:rsidRDefault="00084048">
      <w:pPr>
        <w:numPr>
          <w:ilvl w:val="0"/>
          <w:numId w:val="2"/>
        </w:numPr>
        <w:tabs>
          <w:tab w:val="left" w:pos="288"/>
          <w:tab w:val="left" w:pos="648"/>
        </w:tabs>
        <w:rPr>
          <w:rFonts w:ascii="Century Schoolbook" w:hAnsi="Century Schoolbook"/>
        </w:rPr>
      </w:pPr>
      <w:r w:rsidRPr="003C1FD6">
        <w:rPr>
          <w:rFonts w:ascii="Century Schoolbook" w:hAnsi="Century Schoolbook"/>
        </w:rPr>
        <w:t xml:space="preserve">There is an annoying </w:t>
      </w:r>
      <w:r w:rsidRPr="003C1FD6">
        <w:rPr>
          <w:rFonts w:ascii="Century Schoolbook" w:hAnsi="Century Schoolbook"/>
        </w:rPr>
        <w:t>amount of overlap.  For example, relocation appeared in several sections, and too often seemed like variations on the same theme.</w:t>
      </w:r>
    </w:p>
    <w:p w14:paraId="2A44FB36" w14:textId="77777777" w:rsidR="00776844" w:rsidRPr="003C1FD6" w:rsidRDefault="00084048">
      <w:pPr>
        <w:numPr>
          <w:ilvl w:val="0"/>
          <w:numId w:val="2"/>
        </w:numPr>
        <w:tabs>
          <w:tab w:val="left" w:pos="288"/>
          <w:tab w:val="left" w:pos="648"/>
        </w:tabs>
        <w:rPr>
          <w:rFonts w:ascii="Century Schoolbook" w:hAnsi="Century Schoolbook"/>
        </w:rPr>
      </w:pPr>
      <w:r w:rsidRPr="003C1FD6">
        <w:rPr>
          <w:rFonts w:ascii="Century Schoolbook" w:hAnsi="Century Schoolbook"/>
        </w:rPr>
        <w:lastRenderedPageBreak/>
        <w:t xml:space="preserve">The style was a little too “academic” for me.  In particular, much of the front matter sounded like it was taken from a grant </w:t>
      </w:r>
      <w:r w:rsidRPr="003C1FD6">
        <w:rPr>
          <w:rFonts w:ascii="Century Schoolbook" w:hAnsi="Century Schoolbook"/>
        </w:rPr>
        <w:t>application.  And I’m not sure how useful the three pages of references will be for the intended audiences.</w:t>
      </w:r>
    </w:p>
    <w:p w14:paraId="33660555" w14:textId="77777777" w:rsidR="00776844" w:rsidRPr="003C1FD6" w:rsidRDefault="00776844">
      <w:pPr>
        <w:rPr>
          <w:rFonts w:ascii="Century Schoolbook" w:hAnsi="Century Schoolbook"/>
        </w:rPr>
      </w:pPr>
    </w:p>
    <w:p w14:paraId="6BE768FD" w14:textId="77777777" w:rsidR="00776844" w:rsidRPr="003C1FD6" w:rsidRDefault="00084048">
      <w:pPr>
        <w:rPr>
          <w:rFonts w:ascii="Century Schoolbook" w:hAnsi="Century Schoolbook"/>
        </w:rPr>
      </w:pPr>
      <w:r w:rsidRPr="003C1FD6">
        <w:rPr>
          <w:rFonts w:ascii="Century Schoolbook" w:hAnsi="Century Schoolbook"/>
        </w:rPr>
        <w:t>This is an interesting start to what may well become a very valuable suite of resources.  The authors have started on an important journey – this f</w:t>
      </w:r>
      <w:r w:rsidRPr="003C1FD6">
        <w:rPr>
          <w:rFonts w:ascii="Century Schoolbook" w:hAnsi="Century Schoolbook"/>
        </w:rPr>
        <w:t>irst document is understandable to the lay person as it ambitiously connects existing knowledge to usable guidance.  It guides without preaching.  I hope the authors will address my concerns in later products – I like where they’re going.</w:t>
      </w:r>
    </w:p>
    <w:sectPr w:rsidR="00776844" w:rsidRPr="003C1FD6">
      <w:headerReference w:type="default" r:id="rId7"/>
      <w:footerReference w:type="default" r:id="rId8"/>
      <w:pgSz w:w="12240" w:h="15840"/>
      <w:pgMar w:top="1800" w:right="1440" w:bottom="1800" w:left="1440" w:header="720" w:footer="72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03B1E8" w14:textId="77777777" w:rsidR="00084048" w:rsidRDefault="00084048">
      <w:r>
        <w:separator/>
      </w:r>
    </w:p>
  </w:endnote>
  <w:endnote w:type="continuationSeparator" w:id="0">
    <w:p w14:paraId="49C0D1CB" w14:textId="77777777" w:rsidR="00084048" w:rsidRDefault="00084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Songti SC">
    <w:panose1 w:val="02010600040101010101"/>
    <w:charset w:val="86"/>
    <w:family w:val="auto"/>
    <w:pitch w:val="variable"/>
    <w:sig w:usb0="00000287" w:usb1="080F0000" w:usb2="00000010" w:usb3="00000000" w:csb0="0004009F" w:csb1="00000000"/>
  </w:font>
  <w:font w:name="Lucida Sans">
    <w:panose1 w:val="020B0602030504020204"/>
    <w:charset w:val="4D"/>
    <w:family w:val="swiss"/>
    <w:pitch w:val="variable"/>
    <w:sig w:usb0="00000003" w:usb1="00000000" w:usb2="00000000" w:usb3="00000000" w:csb0="00000001" w:csb1="00000000"/>
  </w:font>
  <w:font w:name="TimesNewRomanPSMT">
    <w:altName w:val="Times New Roman"/>
    <w:panose1 w:val="02020603050405020304"/>
    <w:charset w:val="01"/>
    <w:family w:val="roman"/>
    <w:pitch w:val="variable"/>
  </w:font>
  <w:font w:name="CenturySchoolbook-Bold">
    <w:altName w:val="Cambria"/>
    <w:panose1 w:val="020B0604020202020204"/>
    <w:charset w:val="01"/>
    <w:family w:val="roman"/>
    <w:pitch w:val="variable"/>
  </w:font>
  <w:font w:name="Tahoma-Bold">
    <w:altName w:val="Tahoma"/>
    <w:panose1 w:val="020B0604020202020204"/>
    <w:charset w:val="01"/>
    <w:family w:val="roman"/>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1"/>
    <w:family w:val="swiss"/>
    <w:pitch w:val="variable"/>
    <w:sig w:usb0="E0002AFF" w:usb1="C0007843" w:usb2="00000009" w:usb3="00000000" w:csb0="000001FF" w:csb1="00000000"/>
  </w:font>
  <w:font w:name="PingFang SC">
    <w:panose1 w:val="020B0400000000000000"/>
    <w:charset w:val="86"/>
    <w:family w:val="swiss"/>
    <w:pitch w:val="variable"/>
    <w:sig w:usb0="A00002FF" w:usb1="7ACFFDFB" w:usb2="00000017" w:usb3="00000000" w:csb0="00040001" w:csb1="00000000"/>
  </w:font>
  <w:font w:name="Century Schoolbook">
    <w:altName w:val="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44CBF7" w14:textId="77777777" w:rsidR="00776844" w:rsidRDefault="007768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2AA0E" w14:textId="77777777" w:rsidR="00084048" w:rsidRDefault="00084048">
      <w:r>
        <w:separator/>
      </w:r>
    </w:p>
  </w:footnote>
  <w:footnote w:type="continuationSeparator" w:id="0">
    <w:p w14:paraId="52F43626" w14:textId="77777777" w:rsidR="00084048" w:rsidRDefault="0008404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473A45" w14:textId="77777777" w:rsidR="00776844" w:rsidRDefault="007768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0B395D"/>
    <w:multiLevelType w:val="multilevel"/>
    <w:tmpl w:val="CBA2A508"/>
    <w:lvl w:ilvl="0">
      <w:start w:val="1"/>
      <w:numFmt w:val="bullet"/>
      <w:lvlText w:val=""/>
      <w:lvlJc w:val="left"/>
      <w:pPr>
        <w:ind w:left="648" w:hanging="360"/>
      </w:pPr>
      <w:rPr>
        <w:rFonts w:ascii="Symbol" w:hAnsi="Symbol" w:cs="Symbol" w:hint="default"/>
      </w:rPr>
    </w:lvl>
    <w:lvl w:ilvl="1">
      <w:start w:val="1"/>
      <w:numFmt w:val="bullet"/>
      <w:lvlText w:val=""/>
      <w:lvlJc w:val="left"/>
      <w:pPr>
        <w:ind w:left="1008" w:hanging="360"/>
      </w:pPr>
      <w:rPr>
        <w:rFonts w:ascii="Symbol" w:hAnsi="Symbol" w:cs="Symbol" w:hint="default"/>
      </w:rPr>
    </w:lvl>
    <w:lvl w:ilvl="2">
      <w:start w:val="1"/>
      <w:numFmt w:val="bullet"/>
      <w:lvlText w:val=""/>
      <w:lvlJc w:val="left"/>
      <w:pPr>
        <w:ind w:left="1368" w:hanging="360"/>
      </w:pPr>
      <w:rPr>
        <w:rFonts w:ascii="Symbol" w:hAnsi="Symbol" w:cs="Symbol" w:hint="default"/>
      </w:rPr>
    </w:lvl>
    <w:lvl w:ilvl="3">
      <w:start w:val="1"/>
      <w:numFmt w:val="bullet"/>
      <w:lvlText w:val=""/>
      <w:lvlJc w:val="left"/>
      <w:pPr>
        <w:ind w:left="1728" w:hanging="360"/>
      </w:pPr>
      <w:rPr>
        <w:rFonts w:ascii="Symbol" w:hAnsi="Symbol" w:cs="Symbol" w:hint="default"/>
      </w:rPr>
    </w:lvl>
    <w:lvl w:ilvl="4">
      <w:start w:val="1"/>
      <w:numFmt w:val="bullet"/>
      <w:lvlText w:val=""/>
      <w:lvlJc w:val="left"/>
      <w:pPr>
        <w:ind w:left="2088" w:hanging="360"/>
      </w:pPr>
      <w:rPr>
        <w:rFonts w:ascii="Symbol" w:hAnsi="Symbol" w:cs="Symbol" w:hint="default"/>
      </w:rPr>
    </w:lvl>
    <w:lvl w:ilvl="5">
      <w:start w:val="1"/>
      <w:numFmt w:val="bullet"/>
      <w:lvlText w:val=""/>
      <w:lvlJc w:val="left"/>
      <w:pPr>
        <w:ind w:left="2448" w:hanging="360"/>
      </w:pPr>
      <w:rPr>
        <w:rFonts w:ascii="Symbol" w:hAnsi="Symbol" w:cs="Symbol" w:hint="default"/>
      </w:rPr>
    </w:lvl>
    <w:lvl w:ilvl="6">
      <w:start w:val="1"/>
      <w:numFmt w:val="bullet"/>
      <w:lvlText w:val=""/>
      <w:lvlJc w:val="left"/>
      <w:pPr>
        <w:ind w:left="2808" w:hanging="360"/>
      </w:pPr>
      <w:rPr>
        <w:rFonts w:ascii="Symbol" w:hAnsi="Symbol" w:cs="Symbol" w:hint="default"/>
      </w:rPr>
    </w:lvl>
    <w:lvl w:ilvl="7">
      <w:start w:val="1"/>
      <w:numFmt w:val="bullet"/>
      <w:lvlText w:val=""/>
      <w:lvlJc w:val="left"/>
      <w:pPr>
        <w:ind w:left="3168" w:hanging="360"/>
      </w:pPr>
      <w:rPr>
        <w:rFonts w:ascii="Symbol" w:hAnsi="Symbol" w:cs="Symbol" w:hint="default"/>
      </w:rPr>
    </w:lvl>
    <w:lvl w:ilvl="8">
      <w:start w:val="1"/>
      <w:numFmt w:val="bullet"/>
      <w:lvlText w:val=""/>
      <w:lvlJc w:val="left"/>
      <w:pPr>
        <w:ind w:left="3528" w:hanging="360"/>
      </w:pPr>
      <w:rPr>
        <w:rFonts w:ascii="Symbol" w:hAnsi="Symbol" w:cs="Symbol" w:hint="default"/>
      </w:rPr>
    </w:lvl>
  </w:abstractNum>
  <w:abstractNum w:abstractNumId="1" w15:restartNumberingAfterBreak="0">
    <w:nsid w:val="56FF4D52"/>
    <w:multiLevelType w:val="multilevel"/>
    <w:tmpl w:val="1A241F1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58FB64DE"/>
    <w:multiLevelType w:val="multilevel"/>
    <w:tmpl w:val="D9AAD9BC"/>
    <w:lvl w:ilvl="0">
      <w:start w:val="1"/>
      <w:numFmt w:val="bullet"/>
      <w:lvlText w:val=""/>
      <w:lvlJc w:val="left"/>
      <w:pPr>
        <w:ind w:left="648" w:hanging="360"/>
      </w:pPr>
      <w:rPr>
        <w:rFonts w:ascii="Symbol" w:hAnsi="Symbol" w:cs="Symbol" w:hint="default"/>
      </w:rPr>
    </w:lvl>
    <w:lvl w:ilvl="1">
      <w:start w:val="1"/>
      <w:numFmt w:val="bullet"/>
      <w:lvlText w:val=""/>
      <w:lvlJc w:val="left"/>
      <w:pPr>
        <w:ind w:left="1008" w:hanging="360"/>
      </w:pPr>
      <w:rPr>
        <w:rFonts w:ascii="Symbol" w:hAnsi="Symbol" w:cs="Symbol" w:hint="default"/>
      </w:rPr>
    </w:lvl>
    <w:lvl w:ilvl="2">
      <w:start w:val="1"/>
      <w:numFmt w:val="bullet"/>
      <w:lvlText w:val=""/>
      <w:lvlJc w:val="left"/>
      <w:pPr>
        <w:ind w:left="1368" w:hanging="360"/>
      </w:pPr>
      <w:rPr>
        <w:rFonts w:ascii="Symbol" w:hAnsi="Symbol" w:cs="Symbol" w:hint="default"/>
      </w:rPr>
    </w:lvl>
    <w:lvl w:ilvl="3">
      <w:start w:val="1"/>
      <w:numFmt w:val="bullet"/>
      <w:lvlText w:val=""/>
      <w:lvlJc w:val="left"/>
      <w:pPr>
        <w:ind w:left="1728" w:hanging="360"/>
      </w:pPr>
      <w:rPr>
        <w:rFonts w:ascii="Symbol" w:hAnsi="Symbol" w:cs="Symbol" w:hint="default"/>
      </w:rPr>
    </w:lvl>
    <w:lvl w:ilvl="4">
      <w:start w:val="1"/>
      <w:numFmt w:val="bullet"/>
      <w:lvlText w:val=""/>
      <w:lvlJc w:val="left"/>
      <w:pPr>
        <w:ind w:left="2088" w:hanging="360"/>
      </w:pPr>
      <w:rPr>
        <w:rFonts w:ascii="Symbol" w:hAnsi="Symbol" w:cs="Symbol" w:hint="default"/>
      </w:rPr>
    </w:lvl>
    <w:lvl w:ilvl="5">
      <w:start w:val="1"/>
      <w:numFmt w:val="bullet"/>
      <w:lvlText w:val=""/>
      <w:lvlJc w:val="left"/>
      <w:pPr>
        <w:ind w:left="2448" w:hanging="360"/>
      </w:pPr>
      <w:rPr>
        <w:rFonts w:ascii="Symbol" w:hAnsi="Symbol" w:cs="Symbol" w:hint="default"/>
      </w:rPr>
    </w:lvl>
    <w:lvl w:ilvl="6">
      <w:start w:val="1"/>
      <w:numFmt w:val="bullet"/>
      <w:lvlText w:val=""/>
      <w:lvlJc w:val="left"/>
      <w:pPr>
        <w:ind w:left="2808" w:hanging="360"/>
      </w:pPr>
      <w:rPr>
        <w:rFonts w:ascii="Symbol" w:hAnsi="Symbol" w:cs="Symbol" w:hint="default"/>
      </w:rPr>
    </w:lvl>
    <w:lvl w:ilvl="7">
      <w:start w:val="1"/>
      <w:numFmt w:val="bullet"/>
      <w:lvlText w:val=""/>
      <w:lvlJc w:val="left"/>
      <w:pPr>
        <w:ind w:left="3168" w:hanging="360"/>
      </w:pPr>
      <w:rPr>
        <w:rFonts w:ascii="Symbol" w:hAnsi="Symbol" w:cs="Symbol" w:hint="default"/>
      </w:rPr>
    </w:lvl>
    <w:lvl w:ilvl="8">
      <w:start w:val="1"/>
      <w:numFmt w:val="bullet"/>
      <w:lvlText w:val=""/>
      <w:lvlJc w:val="left"/>
      <w:pPr>
        <w:ind w:left="3528" w:hanging="360"/>
      </w:pPr>
      <w:rPr>
        <w:rFonts w:ascii="Symbol" w:hAnsi="Symbol" w:cs="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76844"/>
    <w:rsid w:val="00084048"/>
    <w:rsid w:val="003C1FD6"/>
    <w:rsid w:val="00673226"/>
    <w:rsid w:val="0077684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3C2A19A"/>
  <w15:docId w15:val="{F45E25CA-CB82-5640-8324-48CDC7463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ongti SC" w:hAnsi="Times New Roman" w:cs="Lucida Sans"/>
        <w:kern w:val="2"/>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NewRomanPSMT" w:eastAsia="CenturySchoolbook-Bold" w:hAnsi="TimesNewRomanPSMT" w:cs="Tahoma-Bold"/>
      <w:sz w:val="24"/>
    </w:rPr>
  </w:style>
  <w:style w:type="paragraph" w:styleId="Heading1">
    <w:name w:val="heading 1"/>
    <w:basedOn w:val="Normal"/>
    <w:uiPriority w:val="9"/>
    <w:qFormat/>
    <w:pPr>
      <w:keepNext/>
      <w:spacing w:before="120"/>
      <w:outlineLvl w:val="0"/>
    </w:pPr>
    <w:rPr>
      <w:rFonts w:ascii="Tahoma-Bold" w:hAnsi="Tahoma-Bold"/>
      <w:b/>
      <w:sz w:val="28"/>
    </w:rPr>
  </w:style>
  <w:style w:type="paragraph" w:styleId="Heading2">
    <w:name w:val="heading 2"/>
    <w:basedOn w:val="Heading1"/>
    <w:uiPriority w:val="9"/>
    <w:semiHidden/>
    <w:unhideWhenUsed/>
    <w:qFormat/>
    <w:pPr>
      <w:outlineLvl w:val="1"/>
    </w:pPr>
    <w:rPr>
      <w:sz w:val="26"/>
    </w:rPr>
  </w:style>
  <w:style w:type="paragraph" w:styleId="Heading3">
    <w:name w:val="heading 3"/>
    <w:basedOn w:val="Heading2"/>
    <w:uiPriority w:val="9"/>
    <w:semiHidden/>
    <w:unhideWhenUsed/>
    <w:qFormat/>
    <w:pPr>
      <w:outlineLvl w:val="2"/>
    </w:pPr>
    <w:rPr>
      <w:i/>
    </w:rPr>
  </w:style>
  <w:style w:type="paragraph" w:styleId="Heading4">
    <w:name w:val="heading 4"/>
    <w:basedOn w:val="Heading3"/>
    <w:uiPriority w:val="9"/>
    <w:semiHidden/>
    <w:unhideWhenUsed/>
    <w:qFormat/>
    <w:pPr>
      <w:outlineLvl w:val="3"/>
    </w:pPr>
    <w:rPr>
      <w:rFonts w:ascii="Tahoma" w:hAnsi="Tahoma"/>
      <w:b w:val="0"/>
      <w:i w:val="0"/>
    </w:rPr>
  </w:style>
  <w:style w:type="paragraph" w:styleId="Heading5">
    <w:name w:val="heading 5"/>
    <w:basedOn w:val="Heading4"/>
    <w:uiPriority w:val="9"/>
    <w:semiHidden/>
    <w:unhideWhenUsed/>
    <w:qFormat/>
    <w:pPr>
      <w:outlineLvl w:val="4"/>
    </w:pPr>
    <w:rPr>
      <w:u w:val="single"/>
    </w:rPr>
  </w:style>
  <w:style w:type="paragraph" w:styleId="Heading6">
    <w:name w:val="heading 6"/>
    <w:basedOn w:val="Heading5"/>
    <w:uiPriority w:val="9"/>
    <w:semiHidden/>
    <w:unhideWhenUsed/>
    <w:qFormat/>
    <w:pPr>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rPr>
  </w:style>
  <w:style w:type="character" w:customStyle="1" w:styleId="NoteReference">
    <w:name w:val="Note Reference"/>
    <w:qFormat/>
    <w:rPr>
      <w:vertAlign w:val="superscript"/>
    </w:rPr>
  </w:style>
  <w:style w:type="character" w:customStyle="1" w:styleId="NoteReferenceinNote">
    <w:name w:val="Note Reference in Note"/>
    <w:basedOn w:val="NoteReference"/>
    <w:qFormat/>
    <w:rPr>
      <w:vertAlign w:val="superscript"/>
    </w:rPr>
  </w:style>
  <w:style w:type="character" w:customStyle="1" w:styleId="Emphatic">
    <w:name w:val="Emphatic"/>
    <w:qFormat/>
    <w:rPr>
      <w:i/>
    </w:rPr>
  </w:style>
  <w:style w:type="character" w:customStyle="1" w:styleId="EndnoteCharacters">
    <w:name w:val="Endnote Characters"/>
    <w:qFormat/>
  </w:style>
  <w:style w:type="paragraph" w:customStyle="1" w:styleId="Heading">
    <w:name w:val="Heading"/>
    <w:basedOn w:val="Normal"/>
    <w:next w:val="BodyText"/>
    <w:qFormat/>
    <w:pPr>
      <w:keepNext/>
      <w:spacing w:before="240" w:after="120"/>
    </w:pPr>
    <w:rPr>
      <w:rFonts w:ascii="Arial" w:eastAsia="PingFang SC" w:hAnsi="Arial"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Title">
    <w:name w:val="Title"/>
    <w:basedOn w:val="Normal"/>
    <w:uiPriority w:val="10"/>
    <w:qFormat/>
    <w:pPr>
      <w:jc w:val="center"/>
    </w:pPr>
    <w:rPr>
      <w:rFonts w:ascii="Tahoma-Bold" w:hAnsi="Tahoma-Bold"/>
      <w:b/>
      <w:sz w:val="28"/>
    </w:rPr>
  </w:style>
  <w:style w:type="paragraph" w:styleId="EndnoteText">
    <w:name w:val="endnote text"/>
    <w:basedOn w:val="Normal"/>
  </w:style>
  <w:style w:type="paragraph" w:styleId="FootnoteText">
    <w:name w:val="footnote text"/>
    <w:basedOn w:val="Normal"/>
    <w:pPr>
      <w:keepNext/>
      <w:keepLines/>
      <w:pageBreakBefore/>
      <w:widowControl w:val="0"/>
    </w:pPr>
  </w:style>
  <w:style w:type="paragraph" w:styleId="Header">
    <w:name w:val="header"/>
    <w:basedOn w:val="Normal"/>
  </w:style>
  <w:style w:type="paragraph" w:styleId="Footer">
    <w:name w:val="footer"/>
    <w:basedOn w:val="Normal"/>
  </w:style>
  <w:style w:type="paragraph" w:customStyle="1" w:styleId="BlockQuote">
    <w:name w:val="Block Quote"/>
    <w:basedOn w:val="Normal"/>
    <w:qFormat/>
    <w:pPr>
      <w:ind w:left="1080" w:right="10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458</Words>
  <Characters>2616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Plodinec</dc:creator>
  <dc:description/>
  <cp:lastModifiedBy>John Plodinec</cp:lastModifiedBy>
  <cp:revision>1</cp:revision>
  <dcterms:created xsi:type="dcterms:W3CDTF">2020-08-24T15:57:00Z</dcterms:created>
  <dcterms:modified xsi:type="dcterms:W3CDTF">2020-08-25T11:47:00Z</dcterms:modified>
  <dc:language>en-US</dc:language>
</cp:coreProperties>
</file>